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114FD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rStyle w:val="a4"/>
          <w:color w:val="000000"/>
          <w:sz w:val="27"/>
          <w:szCs w:val="27"/>
        </w:rPr>
      </w:pPr>
      <w:bookmarkStart w:id="0" w:name="_GoBack"/>
      <w:r w:rsidRPr="00705D24">
        <w:rPr>
          <w:rStyle w:val="a4"/>
          <w:color w:val="000000"/>
          <w:sz w:val="27"/>
          <w:szCs w:val="27"/>
        </w:rPr>
        <w:t>Скорректированы вопросы государственного жилищного учета</w:t>
      </w:r>
    </w:p>
    <w:bookmarkEnd w:id="0"/>
    <w:p w14:paraId="5C4F3767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7"/>
          <w:szCs w:val="27"/>
        </w:rPr>
      </w:pPr>
    </w:p>
    <w:p w14:paraId="660D503E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b/>
          <w:bCs/>
          <w:sz w:val="27"/>
          <w:szCs w:val="27"/>
        </w:rPr>
      </w:pPr>
      <w:r w:rsidRPr="00705D24">
        <w:rPr>
          <w:sz w:val="27"/>
          <w:szCs w:val="27"/>
        </w:rPr>
        <w:t xml:space="preserve">Федеральным законом от 24.06.2025 № 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хозяйства», </w:t>
      </w:r>
      <w:hyperlink r:id="rId4" w:history="1">
        <w:r w:rsidRPr="00705D24">
          <w:rPr>
            <w:sz w:val="27"/>
            <w:szCs w:val="27"/>
          </w:rPr>
          <w:t>п</w:t>
        </w:r>
        <w:r w:rsidRPr="00705D24">
          <w:rPr>
            <w:rStyle w:val="a5"/>
            <w:color w:val="auto"/>
            <w:sz w:val="27"/>
            <w:szCs w:val="27"/>
            <w:u w:val="none"/>
          </w:rPr>
          <w:t>остановление</w:t>
        </w:r>
      </w:hyperlink>
      <w:r w:rsidRPr="00705D24">
        <w:rPr>
          <w:rStyle w:val="a5"/>
          <w:color w:val="auto"/>
          <w:sz w:val="27"/>
          <w:szCs w:val="27"/>
          <w:u w:val="none"/>
        </w:rPr>
        <w:t>м</w:t>
      </w:r>
      <w:r w:rsidRPr="00705D24">
        <w:rPr>
          <w:sz w:val="27"/>
          <w:szCs w:val="27"/>
        </w:rPr>
        <w:t> Правительства Российской Федерации от 28.11.2025 № 1939 «О государственном учете жилищного фонда в Российской Федерации» с 01.03.2026</w:t>
      </w:r>
      <w:r w:rsidRPr="00705D24">
        <w:rPr>
          <w:rStyle w:val="a4"/>
          <w:sz w:val="27"/>
          <w:szCs w:val="27"/>
        </w:rPr>
        <w:t xml:space="preserve"> </w:t>
      </w:r>
      <w:r w:rsidRPr="00705D24">
        <w:rPr>
          <w:rStyle w:val="a4"/>
          <w:b w:val="0"/>
          <w:bCs w:val="0"/>
          <w:sz w:val="27"/>
          <w:szCs w:val="27"/>
        </w:rPr>
        <w:t>скорректированы вопросы государственного жилищного учета</w:t>
      </w:r>
    </w:p>
    <w:p w14:paraId="27CC54F5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705D24">
        <w:rPr>
          <w:sz w:val="27"/>
          <w:szCs w:val="27"/>
        </w:rPr>
        <w:t>В ЖК РФ введено </w:t>
      </w:r>
      <w:hyperlink r:id="rId5" w:anchor="dst1360" w:history="1">
        <w:r w:rsidRPr="00705D24">
          <w:rPr>
            <w:rStyle w:val="a5"/>
            <w:color w:val="auto"/>
            <w:sz w:val="27"/>
            <w:szCs w:val="27"/>
            <w:u w:val="none"/>
          </w:rPr>
          <w:t>определение</w:t>
        </w:r>
      </w:hyperlink>
      <w:r w:rsidRPr="00705D24">
        <w:rPr>
          <w:sz w:val="27"/>
          <w:szCs w:val="27"/>
        </w:rPr>
        <w:t> понятия государственного учета жилищного фонда. Установлено, что государственный учет жилищного фонда </w:t>
      </w:r>
      <w:hyperlink r:id="rId6" w:anchor="dst1361" w:history="1">
        <w:r w:rsidRPr="00705D24">
          <w:rPr>
            <w:rStyle w:val="a5"/>
            <w:color w:val="auto"/>
            <w:sz w:val="27"/>
            <w:szCs w:val="27"/>
            <w:u w:val="none"/>
          </w:rPr>
          <w:t>обеспечивается</w:t>
        </w:r>
      </w:hyperlink>
      <w:r w:rsidRPr="00705D24">
        <w:rPr>
          <w:sz w:val="27"/>
          <w:szCs w:val="27"/>
        </w:rPr>
        <w:t> в ГИС ЖКХ. Определено, что информация о жилом доме, характеризующая и индивидуализирующая его, </w:t>
      </w:r>
      <w:hyperlink r:id="rId7" w:anchor="dst1358" w:history="1">
        <w:r w:rsidRPr="00705D24">
          <w:rPr>
            <w:rStyle w:val="a5"/>
            <w:color w:val="auto"/>
            <w:sz w:val="27"/>
            <w:szCs w:val="27"/>
            <w:u w:val="none"/>
          </w:rPr>
          <w:t>включается</w:t>
        </w:r>
      </w:hyperlink>
      <w:r w:rsidRPr="00705D24">
        <w:rPr>
          <w:sz w:val="27"/>
          <w:szCs w:val="27"/>
        </w:rPr>
        <w:t> в электронный паспорт жилого дома. Также утверждены </w:t>
      </w:r>
      <w:hyperlink r:id="rId8" w:history="1">
        <w:r w:rsidRPr="00705D24">
          <w:rPr>
            <w:rStyle w:val="a5"/>
            <w:color w:val="auto"/>
            <w:sz w:val="27"/>
            <w:szCs w:val="27"/>
            <w:u w:val="none"/>
          </w:rPr>
          <w:t>формы</w:t>
        </w:r>
      </w:hyperlink>
      <w:r w:rsidRPr="00705D24">
        <w:rPr>
          <w:sz w:val="27"/>
          <w:szCs w:val="27"/>
        </w:rPr>
        <w:t> электронного паспорта жилого дома, </w:t>
      </w:r>
      <w:hyperlink r:id="rId9" w:anchor="dst100013" w:history="1">
        <w:r w:rsidRPr="00705D24">
          <w:rPr>
            <w:rStyle w:val="a5"/>
            <w:color w:val="auto"/>
            <w:sz w:val="27"/>
            <w:szCs w:val="27"/>
            <w:u w:val="none"/>
          </w:rPr>
          <w:t>порядок</w:t>
        </w:r>
      </w:hyperlink>
      <w:r w:rsidRPr="00705D24">
        <w:rPr>
          <w:sz w:val="27"/>
          <w:szCs w:val="27"/>
        </w:rPr>
        <w:t> его формирования и состав включаемой в него информации.</w:t>
      </w:r>
    </w:p>
    <w:p w14:paraId="64E40D33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705D24">
        <w:rPr>
          <w:sz w:val="27"/>
          <w:szCs w:val="27"/>
        </w:rPr>
        <w:t>Также существенным образом сокращено обновленное </w:t>
      </w:r>
      <w:hyperlink r:id="rId10" w:anchor="dst100014" w:history="1">
        <w:r w:rsidRPr="00705D24">
          <w:rPr>
            <w:rStyle w:val="a5"/>
            <w:color w:val="auto"/>
            <w:sz w:val="27"/>
            <w:szCs w:val="27"/>
            <w:u w:val="none"/>
          </w:rPr>
          <w:t>Положение</w:t>
        </w:r>
      </w:hyperlink>
      <w:r w:rsidRPr="00705D24">
        <w:rPr>
          <w:sz w:val="27"/>
          <w:szCs w:val="27"/>
        </w:rPr>
        <w:t> о государственном учете жилищного фонда в РФ, которым определен </w:t>
      </w:r>
      <w:hyperlink r:id="rId11" w:anchor="dst100016" w:history="1">
        <w:r w:rsidRPr="00705D24">
          <w:rPr>
            <w:rStyle w:val="a5"/>
            <w:color w:val="auto"/>
            <w:sz w:val="27"/>
            <w:szCs w:val="27"/>
            <w:u w:val="none"/>
          </w:rPr>
          <w:t>перечень</w:t>
        </w:r>
      </w:hyperlink>
      <w:r w:rsidRPr="00705D24">
        <w:rPr>
          <w:sz w:val="27"/>
          <w:szCs w:val="27"/>
        </w:rPr>
        <w:t> субъектов, размещающих соответствующую информацию в ГИС ЖКХ, ее состав. Определено, что государственный учет объекта жилищного фонда </w:t>
      </w:r>
      <w:hyperlink r:id="rId12" w:anchor="dst100020" w:history="1">
        <w:r w:rsidRPr="00705D24">
          <w:rPr>
            <w:rStyle w:val="a5"/>
            <w:color w:val="auto"/>
            <w:sz w:val="27"/>
            <w:szCs w:val="27"/>
            <w:u w:val="none"/>
          </w:rPr>
          <w:t>осуществляется</w:t>
        </w:r>
      </w:hyperlink>
      <w:r w:rsidRPr="00705D24">
        <w:rPr>
          <w:sz w:val="27"/>
          <w:szCs w:val="27"/>
        </w:rPr>
        <w:t> со дня получения разрешения на ввод в эксплуатацию объекта, предусмотренного законодательством о градостроительной деятельности, либо со дня осуществления государственного кадастрового учета объектов государственного учета жилищного фонда, в отношении которых получение разрешения на ввод в эксплуатацию объекта не предусмотрено законодательством о градостроительной деятельности.</w:t>
      </w:r>
    </w:p>
    <w:p w14:paraId="1BDB4156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705D24">
        <w:rPr>
          <w:sz w:val="27"/>
          <w:szCs w:val="27"/>
        </w:rPr>
        <w:t>Расширен перечень информации, размещаемой в ГИС ЖКХ: теперь в ней также размещаются </w:t>
      </w:r>
      <w:hyperlink r:id="rId13" w:anchor="dst23" w:history="1">
        <w:r w:rsidRPr="00705D24">
          <w:rPr>
            <w:rStyle w:val="a5"/>
            <w:color w:val="auto"/>
            <w:sz w:val="27"/>
            <w:szCs w:val="27"/>
            <w:u w:val="none"/>
          </w:rPr>
          <w:t>результаты</w:t>
        </w:r>
      </w:hyperlink>
      <w:r w:rsidRPr="00705D24">
        <w:rPr>
          <w:sz w:val="27"/>
          <w:szCs w:val="27"/>
        </w:rPr>
        <w:t> 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сведения о </w:t>
      </w:r>
      <w:hyperlink r:id="rId14" w:anchor="dst24" w:history="1">
        <w:r w:rsidRPr="00705D24">
          <w:rPr>
            <w:rStyle w:val="a5"/>
            <w:color w:val="auto"/>
            <w:sz w:val="27"/>
            <w:szCs w:val="27"/>
            <w:u w:val="none"/>
          </w:rPr>
          <w:t>состоянии</w:t>
        </w:r>
      </w:hyperlink>
      <w:r w:rsidRPr="00705D24">
        <w:rPr>
          <w:sz w:val="27"/>
          <w:szCs w:val="27"/>
        </w:rPr>
        <w:t> отдельных элементов строительных конструкций и систем инженерно-технического обеспечения многоквартирных домов, об изменении состава и состояния таких многоквартирных домов в период их эксплуатации.</w:t>
      </w:r>
    </w:p>
    <w:p w14:paraId="4566319F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705D24">
        <w:rPr>
          <w:sz w:val="27"/>
          <w:szCs w:val="27"/>
        </w:rPr>
        <w:t>Также определен </w:t>
      </w:r>
      <w:hyperlink r:id="rId15" w:anchor="dst100012" w:history="1">
        <w:r w:rsidRPr="00705D24">
          <w:rPr>
            <w:rStyle w:val="a5"/>
            <w:color w:val="auto"/>
            <w:sz w:val="27"/>
            <w:szCs w:val="27"/>
            <w:u w:val="none"/>
          </w:rPr>
          <w:t>Порядок</w:t>
        </w:r>
      </w:hyperlink>
      <w:r w:rsidRPr="00705D24">
        <w:rPr>
          <w:sz w:val="27"/>
          <w:szCs w:val="27"/>
        </w:rPr>
        <w:t> предоставления информации об объекте государственного учета жилищного фонда, содержащейся в электронном паспорте многоквартирного дома или электронном паспорте жилого дома, на основании запроса пользователей информации в виде электронного документа, подписанного усиленной квалифицированной электронной подписью оператора ГИС ЖКХ. Приведена </w:t>
      </w:r>
      <w:hyperlink r:id="rId16" w:anchor="dst100025" w:history="1">
        <w:r w:rsidRPr="00705D24">
          <w:rPr>
            <w:rStyle w:val="a5"/>
            <w:color w:val="auto"/>
            <w:sz w:val="27"/>
            <w:szCs w:val="27"/>
            <w:u w:val="none"/>
          </w:rPr>
          <w:t>форма</w:t>
        </w:r>
      </w:hyperlink>
      <w:r w:rsidRPr="00705D24">
        <w:rPr>
          <w:sz w:val="27"/>
          <w:szCs w:val="27"/>
        </w:rPr>
        <w:t> предоставления информации.</w:t>
      </w:r>
    </w:p>
    <w:p w14:paraId="7C8A6F22" w14:textId="77777777" w:rsidR="008C1971" w:rsidRPr="00705D24" w:rsidRDefault="008C1971" w:rsidP="008C1971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705D24">
        <w:rPr>
          <w:sz w:val="27"/>
          <w:szCs w:val="27"/>
        </w:rPr>
        <w:t>Установлен ряд корреспондирующих обязанностей для </w:t>
      </w:r>
      <w:hyperlink r:id="rId17" w:anchor="dst35" w:history="1">
        <w:r w:rsidRPr="00705D24">
          <w:rPr>
            <w:rStyle w:val="a5"/>
            <w:color w:val="auto"/>
            <w:sz w:val="27"/>
            <w:szCs w:val="27"/>
            <w:u w:val="none"/>
          </w:rPr>
          <w:t>застройщиков</w:t>
        </w:r>
      </w:hyperlink>
      <w:r w:rsidRPr="00705D24">
        <w:rPr>
          <w:sz w:val="27"/>
          <w:szCs w:val="27"/>
        </w:rPr>
        <w:t>, обеспечивающих строительство многоквартирного дома, малоэтажного жилого комплекса, </w:t>
      </w:r>
      <w:hyperlink r:id="rId18" w:anchor="dst36" w:history="1">
        <w:r w:rsidRPr="00705D24">
          <w:rPr>
            <w:rStyle w:val="a5"/>
            <w:color w:val="auto"/>
            <w:sz w:val="27"/>
            <w:szCs w:val="27"/>
            <w:u w:val="none"/>
          </w:rPr>
          <w:t>собственников</w:t>
        </w:r>
      </w:hyperlink>
      <w:r w:rsidRPr="00705D24">
        <w:rPr>
          <w:sz w:val="27"/>
          <w:szCs w:val="27"/>
        </w:rPr>
        <w:t> всех помещений в МКД, </w:t>
      </w:r>
      <w:hyperlink r:id="rId19" w:anchor="dst37" w:history="1">
        <w:r w:rsidRPr="00705D24">
          <w:rPr>
            <w:rStyle w:val="a5"/>
            <w:color w:val="auto"/>
            <w:sz w:val="27"/>
            <w:szCs w:val="27"/>
            <w:u w:val="none"/>
          </w:rPr>
          <w:t>лиц</w:t>
        </w:r>
      </w:hyperlink>
      <w:r w:rsidRPr="00705D24">
        <w:rPr>
          <w:sz w:val="27"/>
          <w:szCs w:val="27"/>
        </w:rPr>
        <w:t>, уполномоченных представлять в отношениях с третьими лицами интересы собственников помещений в многоквартирном доме.</w:t>
      </w:r>
    </w:p>
    <w:p w14:paraId="4E5221C1" w14:textId="77777777" w:rsidR="00FC099B" w:rsidRDefault="008C1971"/>
    <w:sectPr w:rsidR="00FC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7C"/>
    <w:rsid w:val="004B163F"/>
    <w:rsid w:val="007036E1"/>
    <w:rsid w:val="008C1971"/>
    <w:rsid w:val="00E5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7DB54-FDED-40E7-9A67-95E0725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971"/>
    <w:rPr>
      <w:b/>
      <w:bCs/>
    </w:rPr>
  </w:style>
  <w:style w:type="character" w:styleId="a5">
    <w:name w:val="Hyperlink"/>
    <w:basedOn w:val="a0"/>
    <w:uiPriority w:val="99"/>
    <w:semiHidden/>
    <w:unhideWhenUsed/>
    <w:rsid w:val="008C1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2525/d39a29318667743adccb76559e3c2fc4dd695c8d/" TargetMode="External"/><Relationship Id="rId13" Type="http://schemas.openxmlformats.org/officeDocument/2006/relationships/hyperlink" Target="https://www.consultant.ru/document/cons_doc_LAW_512729/29d7f21a63dcb79e6036a962f6b5de6650791ce9/" TargetMode="External"/><Relationship Id="rId18" Type="http://schemas.openxmlformats.org/officeDocument/2006/relationships/hyperlink" Target="https://www.consultant.ru/document/cons_doc_LAW_512729/fa3405dfe581cc0be22bda2604a22359f6fe45e2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511791/acea5c086639bea3d5b43d3c6dca2d6dc7806005/" TargetMode="External"/><Relationship Id="rId12" Type="http://schemas.openxmlformats.org/officeDocument/2006/relationships/hyperlink" Target="https://www.consultant.ru/document/cons_doc_LAW_520205/c9656141ae8c33a6329d52eb7ab0003034024baa/" TargetMode="External"/><Relationship Id="rId17" Type="http://schemas.openxmlformats.org/officeDocument/2006/relationships/hyperlink" Target="https://www.consultant.ru/document/cons_doc_LAW_512729/fa3405dfe581cc0be22bda2604a22359f6fe45e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520230/a8cf294268fa24375be0f7abf36bf55c8b68104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791/fe99dd6f3781dbb9760856b276d3e28ff420f33e/" TargetMode="External"/><Relationship Id="rId11" Type="http://schemas.openxmlformats.org/officeDocument/2006/relationships/hyperlink" Target="https://www.consultant.ru/document/cons_doc_LAW_520205/c9656141ae8c33a6329d52eb7ab0003034024baa/" TargetMode="External"/><Relationship Id="rId5" Type="http://schemas.openxmlformats.org/officeDocument/2006/relationships/hyperlink" Target="https://www.consultant.ru/document/cons_doc_LAW_511791/fe99dd6f3781dbb9760856b276d3e28ff420f33e/" TargetMode="External"/><Relationship Id="rId15" Type="http://schemas.openxmlformats.org/officeDocument/2006/relationships/hyperlink" Target="https://www.consultant.ru/document/cons_doc_LAW_520230/b413eca02f24689001baf5481b568bff065b891d/" TargetMode="External"/><Relationship Id="rId10" Type="http://schemas.openxmlformats.org/officeDocument/2006/relationships/hyperlink" Target="https://www.consultant.ru/document/cons_doc_LAW_520205/c9656141ae8c33a6329d52eb7ab0003034024baa/" TargetMode="External"/><Relationship Id="rId19" Type="http://schemas.openxmlformats.org/officeDocument/2006/relationships/hyperlink" Target="https://www.consultant.ru/document/cons_doc_LAW_512729/fa3405dfe581cc0be22bda2604a22359f6fe45e2/" TargetMode="External"/><Relationship Id="rId4" Type="http://schemas.openxmlformats.org/officeDocument/2006/relationships/hyperlink" Target="https://www.consultant.ru/document/cons_doc_LAW_520205/" TargetMode="External"/><Relationship Id="rId9" Type="http://schemas.openxmlformats.org/officeDocument/2006/relationships/hyperlink" Target="https://www.consultant.ru/document/cons_doc_LAW_520086/8814873fb7a204dc92c21c7a4542c172826e95d0/" TargetMode="External"/><Relationship Id="rId14" Type="http://schemas.openxmlformats.org/officeDocument/2006/relationships/hyperlink" Target="https://www.consultant.ru/document/cons_doc_LAW_512729/29d7f21a63dcb79e6036a962f6b5de6650791ce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2026-04-26T14:33:00Z</dcterms:created>
  <dcterms:modified xsi:type="dcterms:W3CDTF">2026-04-26T14:33:00Z</dcterms:modified>
</cp:coreProperties>
</file>